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#180 — Analysis Report</w:t>
      </w:r>
    </w:p>
    <w:p>
      <w:r>
        <w:t>Generated 2026-09-21 02:36:03 · 1 run(s) · CAT-G Data Analyzer</w:t>
      </w:r>
    </w:p>
    <w:p>
      <w:pPr>
        <w:pStyle w:val="Heading2"/>
      </w:pPr>
      <w:r>
        <w:t>1. anova (#180)</w:t>
      </w:r>
    </w:p>
    <w:p>
      <w:r>
        <w:t>2026-09-21 02:12:21 · statistical_test · status: completed</w:t>
      </w:r>
    </w:p>
    <w:p>
      <w:r>
        <w:rPr>
          <w:i/>
        </w:rPr>
        <w:t>The anova on PC_SHOOTMASS across RANCH groups was statistically significant (p &lt; 0.001).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71.66536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num_groups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KINSELLA</w:t>
            </w:r>
          </w:p>
        </w:tc>
        <w:tc>
          <w:tcPr>
            <w:tcW w:type="dxa" w:w="1234"/>
          </w:tcPr>
          <w:p>
            <w:r>
              <w:t>179</w:t>
            </w:r>
          </w:p>
        </w:tc>
        <w:tc>
          <w:tcPr>
            <w:tcW w:type="dxa" w:w="1234"/>
          </w:tcPr>
          <w:p>
            <w:r>
              <w:t>20.162511</w:t>
            </w:r>
          </w:p>
        </w:tc>
        <w:tc>
          <w:tcPr>
            <w:tcW w:type="dxa" w:w="1234"/>
          </w:tcPr>
          <w:p>
            <w:r>
              <w:t>11.076508</w:t>
            </w:r>
          </w:p>
        </w:tc>
        <w:tc>
          <w:tcPr>
            <w:tcW w:type="dxa" w:w="1234"/>
          </w:tcPr>
          <w:p>
            <w:r>
              <w:t>18.9825</w:t>
            </w:r>
          </w:p>
        </w:tc>
        <w:tc>
          <w:tcPr>
            <w:tcW w:type="dxa" w:w="1234"/>
          </w:tcPr>
          <w:p>
            <w:r>
              <w:t>3.4285</w:t>
            </w:r>
          </w:p>
        </w:tc>
        <w:tc>
          <w:tcPr>
            <w:tcW w:type="dxa" w:w="1234"/>
          </w:tcPr>
          <w:p>
            <w:r>
              <w:t>75.4495</w:t>
            </w:r>
          </w:p>
        </w:tc>
      </w:tr>
      <w:tr>
        <w:tc>
          <w:tcPr>
            <w:tcW w:type="dxa" w:w="1234"/>
          </w:tcPr>
          <w:p>
            <w:r>
              <w:t>MATTHEIS</w:t>
            </w:r>
          </w:p>
        </w:tc>
        <w:tc>
          <w:tcPr>
            <w:tcW w:type="dxa" w:w="1234"/>
          </w:tcPr>
          <w:p>
            <w:r>
              <w:t>214</w:t>
            </w:r>
          </w:p>
        </w:tc>
        <w:tc>
          <w:tcPr>
            <w:tcW w:type="dxa" w:w="1234"/>
          </w:tcPr>
          <w:p>
            <w:r>
              <w:t>12.719743</w:t>
            </w:r>
          </w:p>
        </w:tc>
        <w:tc>
          <w:tcPr>
            <w:tcW w:type="dxa" w:w="1234"/>
          </w:tcPr>
          <w:p>
            <w:r>
              <w:t>5.981135</w:t>
            </w:r>
          </w:p>
        </w:tc>
        <w:tc>
          <w:tcPr>
            <w:tcW w:type="dxa" w:w="1234"/>
          </w:tcPr>
          <w:p>
            <w:r>
              <w:t>11.6025</w:t>
            </w:r>
          </w:p>
        </w:tc>
        <w:tc>
          <w:tcPr>
            <w:tcW w:type="dxa" w:w="1234"/>
          </w:tcPr>
          <w:p>
            <w:r>
              <w:t>3.2685</w:t>
            </w:r>
          </w:p>
        </w:tc>
        <w:tc>
          <w:tcPr>
            <w:tcW w:type="dxa" w:w="1234"/>
          </w:tcPr>
          <w:p>
            <w:r>
              <w:t>42.0715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eta_squared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0.154897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boxplot</w:t>
      </w:r>
    </w:p>
    <w:p>
      <w:r>
        <w:drawing>
          <wp:inline xmlns:a="http://schemas.openxmlformats.org/drawingml/2006/main" xmlns:pic="http://schemas.openxmlformats.org/drawingml/2006/picture">
            <wp:extent cx="5400000" cy="358606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86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One-way ANOVA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02:12:21.702208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https://cat-g-omxpert.wishartlab.com/results/by-token/a8c43488daed4cf684d4cd95613576be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anova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stats.f_oneway(*groups)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